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FB3DD" w14:textId="77777777" w:rsidR="003E68C4" w:rsidRPr="004B6739" w:rsidRDefault="003E68C4" w:rsidP="003E68C4">
      <w:pPr>
        <w:rPr>
          <w:rFonts w:ascii="Calibri" w:eastAsia="Lucida Sans Unicode" w:hAnsi="Calibri"/>
          <w:b/>
          <w:bCs/>
          <w:color w:val="FF0000"/>
          <w:kern w:val="1"/>
        </w:rPr>
      </w:pPr>
      <w:bookmarkStart w:id="0" w:name="_Hlk216080191"/>
      <w:r w:rsidRPr="004B6739">
        <w:rPr>
          <w:rFonts w:ascii="Calibri" w:eastAsia="Lucida Sans Unicode" w:hAnsi="Calibri"/>
          <w:b/>
          <w:bCs/>
          <w:color w:val="FF0000"/>
          <w:kern w:val="1"/>
        </w:rPr>
        <w:t>WÓJT GMINY CZŁUCHÓW</w:t>
      </w:r>
      <w:bookmarkEnd w:id="0"/>
    </w:p>
    <w:p w14:paraId="3923F995" w14:textId="1510D6AB" w:rsidR="003E68C4" w:rsidRPr="004B6739" w:rsidRDefault="003E68C4" w:rsidP="003E68C4">
      <w:pPr>
        <w:autoSpaceDE w:val="0"/>
        <w:jc w:val="right"/>
        <w:rPr>
          <w:rFonts w:ascii="Calibri" w:hAnsi="Calibri" w:cs="Calibri"/>
        </w:rPr>
      </w:pPr>
      <w:r w:rsidRPr="004B6739">
        <w:rPr>
          <w:rFonts w:ascii="Calibri" w:hAnsi="Calibri" w:cs="Calibri"/>
        </w:rPr>
        <w:t xml:space="preserve">Człuchów, dnia </w:t>
      </w:r>
      <w:r>
        <w:rPr>
          <w:rFonts w:ascii="Calibri" w:hAnsi="Calibri" w:cs="Calibri"/>
        </w:rPr>
        <w:t>15 września</w:t>
      </w:r>
      <w:r w:rsidRPr="004B6739">
        <w:rPr>
          <w:rFonts w:ascii="Calibri" w:hAnsi="Calibri" w:cs="Calibri"/>
        </w:rPr>
        <w:t xml:space="preserve"> 2026 r. </w:t>
      </w:r>
    </w:p>
    <w:p w14:paraId="342A89DE" w14:textId="503AA690" w:rsidR="003E68C4" w:rsidRPr="004B6739" w:rsidRDefault="003E68C4" w:rsidP="003E68C4">
      <w:pPr>
        <w:rPr>
          <w:rFonts w:ascii="Calibri" w:hAnsi="Calibri" w:cs="Calibri"/>
          <w:bCs/>
        </w:rPr>
      </w:pPr>
      <w:r w:rsidRPr="004B6739">
        <w:rPr>
          <w:rFonts w:ascii="Calibri" w:hAnsi="Calibri" w:cs="Calibri"/>
          <w:bCs/>
        </w:rPr>
        <w:t>IN.6220.7.2026.AG.</w:t>
      </w:r>
      <w:r>
        <w:rPr>
          <w:rFonts w:ascii="Calibri" w:hAnsi="Calibri" w:cs="Calibri"/>
          <w:bCs/>
        </w:rPr>
        <w:t>9</w:t>
      </w:r>
    </w:p>
    <w:p w14:paraId="22DBA74A" w14:textId="6AAE293A" w:rsidR="009264DE" w:rsidRPr="009264DE" w:rsidRDefault="009264DE" w:rsidP="003E68C4">
      <w:pPr>
        <w:spacing w:before="120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  <w14:ligatures w14:val="none"/>
        </w:rPr>
      </w:pPr>
      <w:r w:rsidRPr="009264DE">
        <w:rPr>
          <w:rFonts w:eastAsia="Times New Roman" w:cstheme="minorHAnsi"/>
          <w:b/>
          <w:bCs/>
          <w:kern w:val="36"/>
          <w:sz w:val="24"/>
          <w:szCs w:val="24"/>
          <w:lang w:eastAsia="pl-PL"/>
          <w14:ligatures w14:val="none"/>
        </w:rPr>
        <w:t>DECYZJA</w:t>
      </w:r>
    </w:p>
    <w:p w14:paraId="5FAD7F3F" w14:textId="11D65A1E" w:rsidR="009264DE" w:rsidRPr="009264DE" w:rsidRDefault="009264DE" w:rsidP="00106AD4">
      <w:pPr>
        <w:spacing w:before="120"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9264DE">
        <w:rPr>
          <w:rFonts w:eastAsia="Times New Roman" w:cstheme="minorHAnsi"/>
          <w:kern w:val="0"/>
          <w:lang w:eastAsia="pl-PL"/>
          <w14:ligatures w14:val="none"/>
        </w:rPr>
        <w:t>Na podstawie art. 104 oraz art. 105 § 1 ustawy z dnia 14 czerwca 1960 r. – Kodeks postępowania administracyjnego, w związku z art. 71 ust. 2, art. 73 ust. 1 oraz art. 74 ustawy z dnia 3 października 2008 r. o udostępnianiu informacji o środowisku i jego ochronie, udziale społeczeństwa w ochronie środowiska oraz o ocenach oddziaływania na środowisko, a także § 3 ust. 1 pkt 54 lit. b, § 3 ust. 2 pkt 2 i pkt 3 oraz § 1 ust. 2 pkt 2 rozporządzenia Rady Ministrów z dnia 10 września 2019 r. w sprawie przedsięwzięć mogących znacząco oddziaływać na środowisko,</w:t>
      </w:r>
      <w:r w:rsidR="00106AD4">
        <w:rPr>
          <w:rFonts w:eastAsia="Times New Roman" w:cstheme="minorHAnsi"/>
          <w:kern w:val="0"/>
          <w:lang w:eastAsia="pl-PL"/>
          <w14:ligatures w14:val="none"/>
        </w:rPr>
        <w:t xml:space="preserve"> po rozpatrzeniu wniosku </w:t>
      </w:r>
      <w:r w:rsidR="00106AD4" w:rsidRPr="003E68C4">
        <w:rPr>
          <w:rFonts w:eastAsia="Times New Roman" w:cstheme="minorHAnsi"/>
          <w:kern w:val="0"/>
          <w:lang w:eastAsia="pl-PL"/>
          <w14:ligatures w14:val="none"/>
        </w:rPr>
        <w:t>Moje Fronty DAWID PAPKA, Ul. Angowicka 62, 89-600 Chojnice</w:t>
      </w:r>
      <w:r w:rsidR="00106AD4" w:rsidRPr="00106AD4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106AD4" w:rsidRPr="009264DE">
        <w:rPr>
          <w:rFonts w:eastAsia="Times New Roman" w:cstheme="minorHAnsi"/>
          <w:kern w:val="0"/>
          <w:lang w:eastAsia="pl-PL"/>
          <w14:ligatures w14:val="none"/>
        </w:rPr>
        <w:t xml:space="preserve">z dnia </w:t>
      </w:r>
      <w:r w:rsidR="00106AD4" w:rsidRPr="003E68C4">
        <w:rPr>
          <w:rFonts w:eastAsia="Times New Roman" w:cstheme="minorHAnsi"/>
          <w:kern w:val="0"/>
          <w:lang w:eastAsia="pl-PL"/>
          <w14:ligatures w14:val="none"/>
        </w:rPr>
        <w:t>01.06.2026 r. (data wpływu 09.06.2026 r.) oraz korektą wniosku z dnia 25.06.2026 r. (data wpływu 25.06.2026 r.</w:t>
      </w:r>
      <w:r w:rsidR="00106AD4">
        <w:rPr>
          <w:rFonts w:eastAsia="Times New Roman" w:cstheme="minorHAnsi"/>
          <w:kern w:val="0"/>
          <w:lang w:eastAsia="pl-PL"/>
          <w14:ligatures w14:val="none"/>
        </w:rPr>
        <w:t>), uzupełnionym w dniu 23.07.2026 r.,</w:t>
      </w:r>
    </w:p>
    <w:p w14:paraId="1DF78B06" w14:textId="09C89285" w:rsidR="009264DE" w:rsidRPr="009264DE" w:rsidRDefault="00106AD4" w:rsidP="00106AD4">
      <w:pPr>
        <w:spacing w:before="120" w:after="0" w:line="240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0"/>
          <w:lang w:eastAsia="pl-PL"/>
          <w14:ligatures w14:val="none"/>
        </w:rPr>
        <w:t>UMARZAM</w:t>
      </w:r>
    </w:p>
    <w:p w14:paraId="3C9D37AD" w14:textId="33D0DE67" w:rsidR="009264DE" w:rsidRPr="009264DE" w:rsidRDefault="00106AD4" w:rsidP="00106AD4">
      <w:pPr>
        <w:spacing w:before="120"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0"/>
          <w:lang w:eastAsia="pl-PL"/>
          <w14:ligatures w14:val="none"/>
        </w:rPr>
        <w:t>p</w:t>
      </w:r>
      <w:r w:rsidR="009264DE" w:rsidRPr="009264DE">
        <w:rPr>
          <w:rFonts w:eastAsia="Times New Roman" w:cstheme="minorHAnsi"/>
          <w:b/>
          <w:bCs/>
          <w:kern w:val="0"/>
          <w:lang w:eastAsia="pl-PL"/>
          <w14:ligatures w14:val="none"/>
        </w:rPr>
        <w:t>ostępowanie</w:t>
      </w:r>
      <w:r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w</w:t>
      </w:r>
      <w:r w:rsidR="009264DE" w:rsidRPr="009264DE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</w:t>
      </w:r>
      <w:r w:rsidRPr="009264DE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całości </w:t>
      </w:r>
      <w:r w:rsidR="009264DE" w:rsidRPr="009264DE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w sprawie wydania decyzji o środowiskowych uwarunkowaniach dla przedsięwzięcia pn. </w:t>
      </w:r>
      <w:r w:rsidR="003E68C4" w:rsidRPr="003E68C4">
        <w:rPr>
          <w:rFonts w:eastAsia="Times New Roman" w:cstheme="minorHAnsi"/>
          <w:b/>
          <w:bCs/>
          <w:kern w:val="0"/>
          <w:lang w:eastAsia="pl-PL"/>
          <w14:ligatures w14:val="none"/>
        </w:rPr>
        <w:t>Budowa hali magazynowej, hali składowej z częścią socjalnobiurową, kotłowni oraz zewnętrznej instalacji grzewczej — BUDOWA HALI SKŁADOWEJ JAKO ETAP 2”.</w:t>
      </w:r>
      <w:r w:rsidR="003E68C4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</w:t>
      </w:r>
      <w:r w:rsidR="003E68C4" w:rsidRPr="003E68C4">
        <w:rPr>
          <w:rFonts w:eastAsia="Times New Roman" w:cstheme="minorHAnsi"/>
          <w:b/>
          <w:bCs/>
          <w:kern w:val="0"/>
          <w:lang w:eastAsia="pl-PL"/>
          <w14:ligatures w14:val="none"/>
        </w:rPr>
        <w:t>Przedsięwzięcie planowane jest do realizacji na działkach nr 603/10 i 603/11 w m. Rychnowy, gm. Człuchów.</w:t>
      </w:r>
    </w:p>
    <w:p w14:paraId="766DC129" w14:textId="29DB8263" w:rsidR="009264DE" w:rsidRPr="009264DE" w:rsidRDefault="00106AD4" w:rsidP="00E36BE9">
      <w:pPr>
        <w:spacing w:before="120" w:after="0" w:line="240" w:lineRule="auto"/>
        <w:jc w:val="center"/>
        <w:outlineLvl w:val="1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9264DE">
        <w:rPr>
          <w:rFonts w:eastAsia="Times New Roman" w:cstheme="minorHAnsi"/>
          <w:b/>
          <w:bCs/>
          <w:kern w:val="0"/>
          <w:lang w:eastAsia="pl-PL"/>
          <w14:ligatures w14:val="none"/>
        </w:rPr>
        <w:t>UZASADNIENIE</w:t>
      </w:r>
    </w:p>
    <w:p w14:paraId="6B982F83" w14:textId="27E2B21B" w:rsidR="009264DE" w:rsidRPr="009264DE" w:rsidRDefault="009264DE" w:rsidP="00E36BE9">
      <w:pPr>
        <w:spacing w:before="120" w:after="0" w:line="240" w:lineRule="auto"/>
        <w:ind w:firstLine="709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Wnioskiem z dnia </w:t>
      </w:r>
      <w:r w:rsidR="003E68C4" w:rsidRPr="003E68C4">
        <w:rPr>
          <w:rFonts w:eastAsia="Times New Roman" w:cstheme="minorHAnsi"/>
          <w:kern w:val="0"/>
          <w:lang w:eastAsia="pl-PL"/>
          <w14:ligatures w14:val="none"/>
        </w:rPr>
        <w:t>01.06.2026 r. (data wpływu 09.06.2026 r.) oraz korektą wniosku z dnia 25.06.2026 r. (data wpływu 25.06.2026 r.</w:t>
      </w:r>
      <w:r w:rsidR="003E68C4">
        <w:rPr>
          <w:rFonts w:eastAsia="Times New Roman" w:cstheme="minorHAnsi"/>
          <w:kern w:val="0"/>
          <w:lang w:eastAsia="pl-PL"/>
          <w14:ligatures w14:val="none"/>
        </w:rPr>
        <w:t>)</w:t>
      </w:r>
      <w:r w:rsidR="003E68C4" w:rsidRPr="003E68C4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Inwestor </w:t>
      </w:r>
      <w:r w:rsidR="003E68C4" w:rsidRPr="003E68C4">
        <w:rPr>
          <w:rFonts w:eastAsia="Times New Roman" w:cstheme="minorHAnsi"/>
          <w:kern w:val="0"/>
          <w:lang w:eastAsia="pl-PL"/>
          <w14:ligatures w14:val="none"/>
        </w:rPr>
        <w:t xml:space="preserve">Moje Fronty DAWID PAPKA, Ul. Angowicka 62, </w:t>
      </w:r>
      <w:r w:rsidR="003E68C4">
        <w:rPr>
          <w:rFonts w:eastAsia="Times New Roman" w:cstheme="minorHAnsi"/>
          <w:kern w:val="0"/>
          <w:lang w:eastAsia="pl-PL"/>
          <w14:ligatures w14:val="none"/>
        </w:rPr>
        <w:br/>
      </w:r>
      <w:r w:rsidR="003E68C4" w:rsidRPr="003E68C4">
        <w:rPr>
          <w:rFonts w:eastAsia="Times New Roman" w:cstheme="minorHAnsi"/>
          <w:kern w:val="0"/>
          <w:lang w:eastAsia="pl-PL"/>
          <w14:ligatures w14:val="none"/>
        </w:rPr>
        <w:t xml:space="preserve">89-600 Chojnice 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>wystąpił o wydanie decyzji o środowiskowych uwarunkowaniach dla przedsięwzięcia pn. „</w:t>
      </w:r>
      <w:r w:rsidR="003E68C4" w:rsidRPr="003E68C4">
        <w:rPr>
          <w:rFonts w:eastAsia="Times New Roman" w:cstheme="minorHAnsi"/>
          <w:kern w:val="0"/>
          <w:lang w:eastAsia="pl-PL"/>
          <w14:ligatures w14:val="none"/>
        </w:rPr>
        <w:t>Budowa hali magazynowej, hali składowej z częścią socjalnobiurową, kotłowni oraz zewnętrznej instalacji grzewczej — BUDOWA HALI SKŁADOWEJ JAKO ETAP 2”.</w:t>
      </w:r>
      <w:r w:rsidR="003E68C4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3E68C4" w:rsidRPr="003E68C4">
        <w:rPr>
          <w:rFonts w:eastAsia="Times New Roman" w:cstheme="minorHAnsi"/>
          <w:kern w:val="0"/>
          <w:lang w:eastAsia="pl-PL"/>
          <w14:ligatures w14:val="none"/>
        </w:rPr>
        <w:t>Przedsięwzięcie planowane jest do realizacji na działkach nr 603/10 i 603/11 w m. Rychnowy, gm. Człuchów.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>”</w:t>
      </w:r>
    </w:p>
    <w:p w14:paraId="679C6AB0" w14:textId="679D7AF5" w:rsidR="009264DE" w:rsidRPr="009264DE" w:rsidRDefault="009264DE" w:rsidP="003E68C4">
      <w:pPr>
        <w:spacing w:before="120" w:after="0" w:line="240" w:lineRule="auto"/>
        <w:ind w:firstLine="709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9264DE">
        <w:rPr>
          <w:rFonts w:eastAsia="Times New Roman" w:cstheme="minorHAnsi"/>
          <w:kern w:val="0"/>
          <w:lang w:eastAsia="pl-PL"/>
          <w14:ligatures w14:val="none"/>
        </w:rPr>
        <w:t>W związku z prowadzonym postępowaniem Wójt Gminy Człuchów, mając na uwadze zakres planowanego zamierzenia oraz przedłożoną Kartę Informacyjną Przedsięwzięcia, wystąpił do właściwych organów o zajęcie stanowiska w zakresie obowiązku przeprowadzenia oceny oddziaływania przedsięwzięcia na środowisko.</w:t>
      </w:r>
      <w:r w:rsidR="00B71007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Państwowy Powiatowy Inspektor Sanitarny </w:t>
      </w:r>
      <w:r w:rsidR="00B71007">
        <w:rPr>
          <w:rFonts w:eastAsia="Times New Roman" w:cstheme="minorHAnsi"/>
          <w:kern w:val="0"/>
          <w:lang w:eastAsia="pl-PL"/>
          <w14:ligatures w14:val="none"/>
        </w:rPr>
        <w:br/>
      </w: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w </w:t>
      </w:r>
      <w:r w:rsidR="003E68C4">
        <w:rPr>
          <w:rFonts w:eastAsia="Times New Roman" w:cstheme="minorHAnsi"/>
          <w:kern w:val="0"/>
          <w:lang w:eastAsia="pl-PL"/>
          <w14:ligatures w14:val="none"/>
        </w:rPr>
        <w:t>Człuchowie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 w opinii z dnia </w:t>
      </w:r>
      <w:r w:rsidR="003E68C4">
        <w:rPr>
          <w:rFonts w:eastAsia="Times New Roman" w:cstheme="minorHAnsi"/>
          <w:kern w:val="0"/>
          <w:lang w:eastAsia="pl-PL"/>
          <w14:ligatures w14:val="none"/>
        </w:rPr>
        <w:t xml:space="preserve">17.07.2026 </w:t>
      </w:r>
      <w:r w:rsidR="007F1026">
        <w:rPr>
          <w:rFonts w:eastAsia="Times New Roman" w:cstheme="minorHAnsi"/>
          <w:kern w:val="0"/>
          <w:lang w:eastAsia="pl-PL"/>
          <w14:ligatures w14:val="none"/>
        </w:rPr>
        <w:t xml:space="preserve">r. 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znak </w:t>
      </w:r>
      <w:r w:rsidR="003E68C4">
        <w:rPr>
          <w:rFonts w:eastAsia="Times New Roman" w:cstheme="minorHAnsi"/>
          <w:kern w:val="0"/>
          <w:lang w:eastAsia="pl-PL"/>
          <w14:ligatures w14:val="none"/>
        </w:rPr>
        <w:t>ZNS.9022.394.2026.EZ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 wyraził stanowisko o braku potrzeby przeprowadzenia oceny oddziaływania przedsięwzięcia na środowisko.</w:t>
      </w:r>
      <w:r w:rsidR="00B71007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Państwowe Gospodarstwo Wodne Wody Polskie </w:t>
      </w:r>
      <w:r w:rsidR="003E68C4">
        <w:rPr>
          <w:rFonts w:eastAsia="Times New Roman" w:cstheme="minorHAnsi"/>
          <w:kern w:val="0"/>
          <w:lang w:eastAsia="pl-PL"/>
          <w14:ligatures w14:val="none"/>
        </w:rPr>
        <w:t>Zarząd Zlewni w Pile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 w opinii z dnia </w:t>
      </w:r>
      <w:r w:rsidR="003E68C4">
        <w:rPr>
          <w:rFonts w:eastAsia="Times New Roman" w:cstheme="minorHAnsi"/>
          <w:kern w:val="0"/>
          <w:lang w:eastAsia="pl-PL"/>
          <w14:ligatures w14:val="none"/>
        </w:rPr>
        <w:t xml:space="preserve">17.07.2026 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znak </w:t>
      </w:r>
      <w:r w:rsidR="003E68C4">
        <w:rPr>
          <w:rFonts w:eastAsia="Times New Roman" w:cstheme="minorHAnsi"/>
          <w:kern w:val="0"/>
          <w:lang w:eastAsia="pl-PL"/>
          <w14:ligatures w14:val="none"/>
        </w:rPr>
        <w:t>DP.ZZŚ.4130.101.2026.AK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 również wskazało na brak potrzeby przeprowadzenia oceny oddziaływania przedsięwzięcia na środowisko.</w:t>
      </w:r>
      <w:r w:rsidR="00B71007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Regionalny Dyrektor Ochrony Środowiska w Gdańsku, po </w:t>
      </w:r>
      <w:r w:rsidR="003E68C4">
        <w:rPr>
          <w:rFonts w:eastAsia="Times New Roman" w:cstheme="minorHAnsi"/>
          <w:kern w:val="0"/>
          <w:lang w:eastAsia="pl-PL"/>
          <w14:ligatures w14:val="none"/>
        </w:rPr>
        <w:t xml:space="preserve">otrzymaniu uzupełnień dokumentacji i 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>dokonaniu analizy,</w:t>
      </w:r>
      <w:r w:rsidR="003E68C4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>wskazał natomiast, że przedmiotowe przedsięwzięcie obejmuje budowę nowej hali o powierzchni zabudowy 640 m², tj. 0,064 ha, a łączna powierzchnia zabudowy istniejącej i projektowanej wyniesie 1 706,12 m², tj. około 0,171 ha.</w:t>
      </w:r>
    </w:p>
    <w:p w14:paraId="3E6B1D3C" w14:textId="12F73D54" w:rsidR="009264DE" w:rsidRPr="009264DE" w:rsidRDefault="009264DE" w:rsidP="003E68C4">
      <w:pPr>
        <w:spacing w:before="120" w:after="0" w:line="240" w:lineRule="auto"/>
        <w:ind w:firstLine="708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9264DE">
        <w:rPr>
          <w:rFonts w:eastAsia="Times New Roman" w:cstheme="minorHAnsi"/>
          <w:kern w:val="0"/>
          <w:lang w:eastAsia="pl-PL"/>
          <w14:ligatures w14:val="none"/>
        </w:rPr>
        <w:t>Zgodnie z art. 71 ust. 2 ustawy OOŚ uzyskanie decyzji o środowiskowych uwarunkowaniach jest wymagane dla planowanych przedsięwzięć mogących zawsze znacząco oddziaływać na środowisko oraz przedsięwzięć mogących potencjalnie znacząco oddziaływać na środowisko.</w:t>
      </w:r>
      <w:r w:rsidR="00B71007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>Rodzaje przedsięwzięć mogących znacząco oddziaływać na środowisko określa rozporządzenie Rady Ministrów z dnia 10 września 2019 r.</w:t>
      </w:r>
      <w:r w:rsidR="00B71007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>Zgodnie z § 3 ust. 1 pkt 54 lit. b ww. rozporządzenia do przedsięwzięć mogących potencjalnie znacząco oddziaływać na środowisko zalicza się zabudowę przemysłową lub magazynową wraz z towarzyszącą jej infrastrukturą o powierzchni zabudowy nie mniejszej niż 1 ha, na obszarach innych niż wymienione w lit. a.</w:t>
      </w:r>
    </w:p>
    <w:p w14:paraId="2E4D5998" w14:textId="6673A394" w:rsidR="009264DE" w:rsidRPr="009264DE" w:rsidRDefault="009264DE" w:rsidP="003E68C4">
      <w:pPr>
        <w:spacing w:before="120" w:after="0" w:line="240" w:lineRule="auto"/>
        <w:ind w:firstLine="708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9264DE">
        <w:rPr>
          <w:rFonts w:eastAsia="Times New Roman" w:cstheme="minorHAnsi"/>
          <w:kern w:val="0"/>
          <w:lang w:eastAsia="pl-PL"/>
          <w14:ligatures w14:val="none"/>
        </w:rPr>
        <w:lastRenderedPageBreak/>
        <w:t xml:space="preserve">W niniejszej sprawie planowana do realizacji hala będzie miała powierzchnię zabudowy </w:t>
      </w:r>
      <w:r w:rsidR="00B71007">
        <w:rPr>
          <w:rFonts w:eastAsia="Times New Roman" w:cstheme="minorHAnsi"/>
          <w:kern w:val="0"/>
          <w:lang w:eastAsia="pl-PL"/>
          <w14:ligatures w14:val="none"/>
        </w:rPr>
        <w:br/>
      </w: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640 m², tj. 0,064 ha. Tym samym projektowana część przedsięwzięcia nie osiąga progu </w:t>
      </w:r>
      <w:r w:rsidR="00B71007">
        <w:rPr>
          <w:rFonts w:eastAsia="Times New Roman" w:cstheme="minorHAnsi"/>
          <w:kern w:val="0"/>
          <w:lang w:eastAsia="pl-PL"/>
          <w14:ligatures w14:val="none"/>
        </w:rPr>
        <w:br/>
      </w:r>
      <w:r w:rsidRPr="009264DE">
        <w:rPr>
          <w:rFonts w:eastAsia="Times New Roman" w:cstheme="minorHAnsi"/>
          <w:kern w:val="0"/>
          <w:lang w:eastAsia="pl-PL"/>
          <w14:ligatures w14:val="none"/>
        </w:rPr>
        <w:t>1 ha określonego w § 3 ust. 1 pkt 54 lit. b rozporządzenia.</w:t>
      </w:r>
    </w:p>
    <w:p w14:paraId="6872EB0B" w14:textId="19FD8FF8" w:rsidR="009264DE" w:rsidRPr="009264DE" w:rsidRDefault="009264DE" w:rsidP="003E68C4">
      <w:pPr>
        <w:spacing w:before="120" w:after="0" w:line="240" w:lineRule="auto"/>
        <w:ind w:firstLine="708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Należy również mieć na uwadze treść § 3 ust. 2 pkt 2 rozporządzenia, zgodnie z którym do przedsięwzięć mogących potencjalnie znacząco oddziaływać na środowisko zalicza się również, </w:t>
      </w:r>
      <w:r w:rsidR="00B71007">
        <w:rPr>
          <w:rFonts w:eastAsia="Times New Roman" w:cstheme="minorHAnsi"/>
          <w:kern w:val="0"/>
          <w:lang w:eastAsia="pl-PL"/>
          <w14:ligatures w14:val="none"/>
        </w:rPr>
        <w:br/>
      </w: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w uzasadnionych przypadkach, przedsięwzięcia polegające na rozbudowie, przebudowie lub montażu realizowanego lub zrealizowanego przedsięwzięcia wymienionego w ust. 1, z uwzględnieniem określonego w tym przepisie wyłączenia dotyczącego części nieosiągającej progów określonych </w:t>
      </w:r>
      <w:r w:rsidR="00B71007">
        <w:rPr>
          <w:rFonts w:eastAsia="Times New Roman" w:cstheme="minorHAnsi"/>
          <w:kern w:val="0"/>
          <w:lang w:eastAsia="pl-PL"/>
          <w14:ligatures w14:val="none"/>
        </w:rPr>
        <w:br/>
      </w:r>
      <w:r w:rsidRPr="009264DE">
        <w:rPr>
          <w:rFonts w:eastAsia="Times New Roman" w:cstheme="minorHAnsi"/>
          <w:kern w:val="0"/>
          <w:lang w:eastAsia="pl-PL"/>
          <w14:ligatures w14:val="none"/>
        </w:rPr>
        <w:t>w ust. 1, o ile progi te zostały określone.</w:t>
      </w:r>
    </w:p>
    <w:p w14:paraId="1BAFE222" w14:textId="77777777" w:rsidR="009264DE" w:rsidRPr="009264DE" w:rsidRDefault="009264DE" w:rsidP="003E68C4">
      <w:pPr>
        <w:spacing w:before="120" w:after="0" w:line="240" w:lineRule="auto"/>
        <w:ind w:firstLine="708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9264DE">
        <w:rPr>
          <w:rFonts w:eastAsia="Times New Roman" w:cstheme="minorHAnsi"/>
          <w:kern w:val="0"/>
          <w:lang w:eastAsia="pl-PL"/>
          <w14:ligatures w14:val="none"/>
        </w:rPr>
        <w:t>W przedmiotowej sprawie powstająca w wyniku rozbudowy część przedsięwzięcia ma powierzchnię 0,064 ha, a więc nie osiąga progu 1 ha. Brak jest zatem podstaw do zakwalifikowania planowanej rozbudowy jako przedsięwzięcia mogącego potencjalnie znacząco oddziaływać na środowisko na podstawie § 3 ust. 2 pkt 2 rozporządzenia.</w:t>
      </w:r>
    </w:p>
    <w:p w14:paraId="4E32B416" w14:textId="2F88ECE5" w:rsidR="009264DE" w:rsidRPr="009264DE" w:rsidRDefault="009264DE" w:rsidP="00F4682D">
      <w:pPr>
        <w:spacing w:before="120" w:after="0" w:line="240" w:lineRule="auto"/>
        <w:ind w:firstLine="708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9264DE">
        <w:rPr>
          <w:rFonts w:eastAsia="Times New Roman" w:cstheme="minorHAnsi"/>
          <w:kern w:val="0"/>
          <w:lang w:eastAsia="pl-PL"/>
          <w14:ligatures w14:val="none"/>
        </w:rPr>
        <w:t>Dokonano również analizy przesłanki określonej w § 3 ust. 2 pkt 3 rozporządzenia.</w:t>
      </w:r>
      <w:r w:rsidR="00B71007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Zgodnie </w:t>
      </w:r>
      <w:r w:rsidR="00B71007">
        <w:rPr>
          <w:rFonts w:eastAsia="Times New Roman" w:cstheme="minorHAnsi"/>
          <w:kern w:val="0"/>
          <w:lang w:eastAsia="pl-PL"/>
          <w14:ligatures w14:val="none"/>
        </w:rPr>
        <w:br/>
      </w:r>
      <w:r w:rsidRPr="009264DE">
        <w:rPr>
          <w:rFonts w:eastAsia="Times New Roman" w:cstheme="minorHAnsi"/>
          <w:kern w:val="0"/>
          <w:lang w:eastAsia="pl-PL"/>
          <w14:ligatures w14:val="none"/>
        </w:rPr>
        <w:t>z tym przepisem przedsięwzięcia nieosiągające progów określonych w ust. 1 mogą zostać zakwalifikowane jako przedsięwzięcia mogące potencjalnie znacząco oddziaływać na środowisko, jeżeli po zsumowaniu parametrów charakteryzujących przedsięwzięcie z parametrami planowanego, realizowanego lub zrealizowanego przedsięwzięcia tego samego rodzaju znajdującego się na terenie jednego zakładu lub obiektu osiągną progi określone w ust. 1.</w:t>
      </w:r>
    </w:p>
    <w:p w14:paraId="4AB3C1A8" w14:textId="40244960" w:rsidR="00F4682D" w:rsidRDefault="00F4682D" w:rsidP="00F4682D">
      <w:pPr>
        <w:spacing w:before="120" w:after="0" w:line="240" w:lineRule="auto"/>
        <w:ind w:firstLine="708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F4682D">
        <w:rPr>
          <w:rFonts w:eastAsia="Times New Roman" w:cstheme="minorHAnsi"/>
          <w:kern w:val="0"/>
          <w:lang w:eastAsia="pl-PL"/>
          <w14:ligatures w14:val="none"/>
        </w:rPr>
        <w:t xml:space="preserve">Wójt Gminy </w:t>
      </w:r>
      <w:r>
        <w:rPr>
          <w:rFonts w:eastAsia="Times New Roman" w:cstheme="minorHAnsi"/>
          <w:kern w:val="0"/>
          <w:lang w:eastAsia="pl-PL"/>
          <w14:ligatures w14:val="none"/>
        </w:rPr>
        <w:t>Człuchów</w:t>
      </w:r>
      <w:r w:rsidRPr="00F4682D">
        <w:rPr>
          <w:rFonts w:eastAsia="Times New Roman" w:cstheme="minorHAnsi"/>
          <w:kern w:val="0"/>
          <w:lang w:eastAsia="pl-PL"/>
          <w14:ligatures w14:val="none"/>
        </w:rPr>
        <w:t xml:space="preserve"> na podstawie przedłożonych i zgromadzonych materiałów                                    </w:t>
      </w:r>
      <w:r w:rsidR="000C50B1">
        <w:rPr>
          <w:rFonts w:eastAsia="Times New Roman" w:cstheme="minorHAnsi"/>
          <w:kern w:val="0"/>
          <w:lang w:eastAsia="pl-PL"/>
          <w14:ligatures w14:val="none"/>
        </w:rPr>
        <w:t xml:space="preserve">oraz </w:t>
      </w:r>
      <w:r w:rsidRPr="00F4682D">
        <w:rPr>
          <w:rFonts w:eastAsia="Times New Roman" w:cstheme="minorHAnsi"/>
          <w:kern w:val="0"/>
          <w:lang w:eastAsia="pl-PL"/>
          <w14:ligatures w14:val="none"/>
        </w:rPr>
        <w:t xml:space="preserve">dokumentów ustalił co następuje: </w:t>
      </w:r>
    </w:p>
    <w:p w14:paraId="63D9E901" w14:textId="4B1FB474" w:rsidR="009264DE" w:rsidRDefault="00F4682D" w:rsidP="00F4682D">
      <w:pPr>
        <w:pStyle w:val="Akapitzlist"/>
        <w:numPr>
          <w:ilvl w:val="0"/>
          <w:numId w:val="5"/>
        </w:numPr>
        <w:spacing w:before="120" w:after="0" w:line="240" w:lineRule="auto"/>
        <w:ind w:left="284" w:hanging="284"/>
        <w:contextualSpacing w:val="0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F4682D">
        <w:rPr>
          <w:rFonts w:eastAsia="Times New Roman" w:cstheme="minorHAnsi"/>
          <w:kern w:val="0"/>
          <w:lang w:eastAsia="pl-PL"/>
          <w14:ligatures w14:val="none"/>
        </w:rPr>
        <w:t>z</w:t>
      </w:r>
      <w:r w:rsidR="009264DE" w:rsidRPr="00F4682D">
        <w:rPr>
          <w:rFonts w:eastAsia="Times New Roman" w:cstheme="minorHAnsi"/>
          <w:kern w:val="0"/>
          <w:lang w:eastAsia="pl-PL"/>
          <w14:ligatures w14:val="none"/>
        </w:rPr>
        <w:t>godnie z danymi zawartymi w uzupełnieniu Karty Informacyjnej Przedsięwzięcia łączna powierzchnia zabudowy istniejącej i projektowanej wyniesie 1 706,12 m², tj. około 0,171 ha.</w:t>
      </w:r>
      <w:r w:rsidR="00B71007" w:rsidRPr="00F4682D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9264DE" w:rsidRPr="00F4682D">
        <w:rPr>
          <w:rFonts w:eastAsia="Times New Roman" w:cstheme="minorHAnsi"/>
          <w:kern w:val="0"/>
          <w:lang w:eastAsia="pl-PL"/>
          <w14:ligatures w14:val="none"/>
        </w:rPr>
        <w:t>Wartość ta nie osiąga progu 1 ha określonego w § 3 ust. 1 pkt 54 lit. b rozporządzenia.</w:t>
      </w:r>
      <w:r w:rsidR="00B71007" w:rsidRPr="00F4682D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9264DE" w:rsidRPr="00F4682D">
        <w:rPr>
          <w:rFonts w:eastAsia="Times New Roman" w:cstheme="minorHAnsi"/>
          <w:kern w:val="0"/>
          <w:lang w:eastAsia="pl-PL"/>
          <w14:ligatures w14:val="none"/>
        </w:rPr>
        <w:t>Tym samym również po zastosowaniu mechanizmu sumowania parametrów określonego w § 3 ust. 2 pkt 3 rozporządzenia nie zostaje osiągnięty próg kwalifikacyjny.</w:t>
      </w:r>
    </w:p>
    <w:p w14:paraId="11AEDE77" w14:textId="1D342169" w:rsidR="00F4682D" w:rsidRPr="00F4682D" w:rsidRDefault="00F4682D" w:rsidP="00F4682D">
      <w:pPr>
        <w:pStyle w:val="Akapitzlist"/>
        <w:numPr>
          <w:ilvl w:val="0"/>
          <w:numId w:val="5"/>
        </w:numPr>
        <w:spacing w:before="120" w:after="0" w:line="240" w:lineRule="auto"/>
        <w:ind w:left="284" w:hanging="284"/>
        <w:contextualSpacing w:val="0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F4682D">
        <w:rPr>
          <w:rFonts w:eastAsia="Times New Roman" w:cstheme="minorHAnsi"/>
          <w:kern w:val="0"/>
          <w:lang w:eastAsia="pl-PL"/>
          <w14:ligatures w14:val="none"/>
        </w:rPr>
        <w:t>Przedsięwzięcie nie znajduje się na obszarach objętych formami ochrony przyrody,   o których mowa w art. 6 ust. 1 pkt 1-5, 8 i 9 ustawy z dnia 16 kwietnia 2004 r. o ochronie przyrody, lub w otulinach form ochrony przyrody, o których mowa w art. 6 ust. 1 pkt 1-3 tej ustawy.</w:t>
      </w:r>
    </w:p>
    <w:p w14:paraId="39CCB217" w14:textId="279B7D57" w:rsidR="009264DE" w:rsidRPr="00F4682D" w:rsidRDefault="00F4682D" w:rsidP="00F4682D">
      <w:pPr>
        <w:pStyle w:val="Akapitzlist"/>
        <w:numPr>
          <w:ilvl w:val="0"/>
          <w:numId w:val="5"/>
        </w:numPr>
        <w:spacing w:before="120" w:after="0" w:line="240" w:lineRule="auto"/>
        <w:ind w:left="284" w:hanging="284"/>
        <w:contextualSpacing w:val="0"/>
        <w:jc w:val="both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kern w:val="0"/>
          <w:lang w:eastAsia="pl-PL"/>
          <w14:ligatures w14:val="none"/>
        </w:rPr>
        <w:t>P</w:t>
      </w:r>
      <w:r w:rsidR="009264DE" w:rsidRPr="00F4682D">
        <w:rPr>
          <w:rFonts w:eastAsia="Times New Roman" w:cstheme="minorHAnsi"/>
          <w:kern w:val="0"/>
          <w:lang w:eastAsia="pl-PL"/>
          <w14:ligatures w14:val="none"/>
        </w:rPr>
        <w:t>rzedsięwzięcie nie zostało zakwalifikowane jako przedsięwzięcie mogące potencjalnie znacząco oddziaływać na środowisko.</w:t>
      </w:r>
    </w:p>
    <w:p w14:paraId="2A94CBE6" w14:textId="32F4D1D4" w:rsidR="009264DE" w:rsidRPr="009264DE" w:rsidRDefault="009264DE" w:rsidP="003E68C4">
      <w:pPr>
        <w:spacing w:before="120" w:after="0" w:line="240" w:lineRule="auto"/>
        <w:ind w:firstLine="708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9264DE">
        <w:rPr>
          <w:rFonts w:eastAsia="Times New Roman" w:cstheme="minorHAnsi"/>
          <w:kern w:val="0"/>
          <w:lang w:eastAsia="pl-PL"/>
          <w14:ligatures w14:val="none"/>
        </w:rPr>
        <w:t>Jednocześnie wskazać należy, że uzyskane w toku postępowania opinie organów współdziałających pozostają zgodne z powyższą oceną. Zarówno organ właściwy do spraw inspekcji sanitarnej, jak i właściwy organ Państwowego Gospodarstwa Wodnego Wody Polskie nie stwierdziły potrzeby przeprowadzenia oceny oddziaływania przedsięwzięcia na środowisko.</w:t>
      </w:r>
      <w:r w:rsidR="00B71007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Stanowisko Regionalnego Dyrektora Ochrony Środowiska w Gdańsku ma natomiast istotne znaczenie dla oceny kwalifikacji przedsięwzięcia, gdyż z przeprowadzonej przez ten organ analizy wynika, </w:t>
      </w:r>
      <w:r w:rsidR="00B71007">
        <w:rPr>
          <w:rFonts w:eastAsia="Times New Roman" w:cstheme="minorHAnsi"/>
          <w:kern w:val="0"/>
          <w:lang w:eastAsia="pl-PL"/>
          <w14:ligatures w14:val="none"/>
        </w:rPr>
        <w:br/>
      </w:r>
      <w:r w:rsidRPr="009264DE">
        <w:rPr>
          <w:rFonts w:eastAsia="Times New Roman" w:cstheme="minorHAnsi"/>
          <w:kern w:val="0"/>
          <w:lang w:eastAsia="pl-PL"/>
          <w14:ligatures w14:val="none"/>
        </w:rPr>
        <w:t>że przedsięwzięcie nie osiąga progów określonych w rozporządzeniu.</w:t>
      </w:r>
    </w:p>
    <w:p w14:paraId="397673F2" w14:textId="45CFCB19" w:rsidR="009264DE" w:rsidRPr="009264DE" w:rsidRDefault="009264DE" w:rsidP="003E68C4">
      <w:pPr>
        <w:spacing w:before="120" w:after="0" w:line="240" w:lineRule="auto"/>
        <w:ind w:firstLine="708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Mając na uwadze powyższe, należy stwierdzić, że planowane przedsięwzięcie nie należy do przedsięwzięć mogących potencjalnie znacząco oddziaływać na środowisko w rozumieniu </w:t>
      </w:r>
      <w:r w:rsidR="00B71007">
        <w:rPr>
          <w:rFonts w:eastAsia="Times New Roman" w:cstheme="minorHAnsi"/>
          <w:kern w:val="0"/>
          <w:lang w:eastAsia="pl-PL"/>
          <w14:ligatures w14:val="none"/>
        </w:rPr>
        <w:br/>
      </w:r>
      <w:r w:rsidRPr="009264DE">
        <w:rPr>
          <w:rFonts w:eastAsia="Times New Roman" w:cstheme="minorHAnsi"/>
          <w:kern w:val="0"/>
          <w:lang w:eastAsia="pl-PL"/>
          <w14:ligatures w14:val="none"/>
        </w:rPr>
        <w:t>§ 3 rozporządzenia Rady Ministrów z dnia 10 września 2019 r.</w:t>
      </w:r>
      <w:r w:rsidR="00B71007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W konsekwencji dla przedmiotowego przedsięwzięcia nie zachodzi obowiązek uzyskania decyzji o środowiskowych uwarunkowaniach, </w:t>
      </w:r>
      <w:r w:rsidR="00B71007">
        <w:rPr>
          <w:rFonts w:eastAsia="Times New Roman" w:cstheme="minorHAnsi"/>
          <w:kern w:val="0"/>
          <w:lang w:eastAsia="pl-PL"/>
          <w14:ligatures w14:val="none"/>
        </w:rPr>
        <w:br/>
      </w:r>
      <w:r w:rsidRPr="009264DE">
        <w:rPr>
          <w:rFonts w:eastAsia="Times New Roman" w:cstheme="minorHAnsi"/>
          <w:kern w:val="0"/>
          <w:lang w:eastAsia="pl-PL"/>
          <w14:ligatures w14:val="none"/>
        </w:rPr>
        <w:t>o którym mowa w art. 71 ust. 2 ustawy OOŚ.</w:t>
      </w:r>
      <w:r w:rsidR="00B71007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>W związku z powyższym postępowanie wszczęte na wniosek Inwestora w sprawie wydania decyzji o środowiskowych uwarunkowaniach stało się bezprzedmiotowe.</w:t>
      </w:r>
    </w:p>
    <w:p w14:paraId="21DDCCD1" w14:textId="4FAF5586" w:rsidR="009264DE" w:rsidRPr="009264DE" w:rsidRDefault="009264DE" w:rsidP="003E68C4">
      <w:pPr>
        <w:spacing w:before="120" w:after="0" w:line="240" w:lineRule="auto"/>
        <w:ind w:firstLine="708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Zgodnie z art. 105 § 1 Kodeksu postępowania administracyjnego, gdy postępowanie </w:t>
      </w:r>
      <w:r w:rsidR="00B71007">
        <w:rPr>
          <w:rFonts w:eastAsia="Times New Roman" w:cstheme="minorHAnsi"/>
          <w:kern w:val="0"/>
          <w:lang w:eastAsia="pl-PL"/>
          <w14:ligatures w14:val="none"/>
        </w:rPr>
        <w:br/>
      </w:r>
      <w:r w:rsidRPr="009264DE">
        <w:rPr>
          <w:rFonts w:eastAsia="Times New Roman" w:cstheme="minorHAnsi"/>
          <w:kern w:val="0"/>
          <w:lang w:eastAsia="pl-PL"/>
          <w14:ligatures w14:val="none"/>
        </w:rPr>
        <w:t xml:space="preserve">z jakiejkolwiek przyczyny stało się bezprzedmiotowe w całości albo w części, organ administracji 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lastRenderedPageBreak/>
        <w:t>publicznej wydaje decyzję o umorzeniu postępowania odpowiednio w całości albo w części.</w:t>
      </w:r>
      <w:r w:rsidR="00B71007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9264DE">
        <w:rPr>
          <w:rFonts w:eastAsia="Times New Roman" w:cstheme="minorHAnsi"/>
          <w:kern w:val="0"/>
          <w:lang w:eastAsia="pl-PL"/>
          <w14:ligatures w14:val="none"/>
        </w:rPr>
        <w:t>Wobec ustalenia, że przedmiotowe przedsięwzięcie nie wymaga uzyskania decyzji o środowiskowych uwarunkowaniach, dalsze prowadzenie postępowania w sprawie wydania takiej decyzji jest bezprzedmiotowe.</w:t>
      </w:r>
    </w:p>
    <w:p w14:paraId="55073242" w14:textId="77777777" w:rsidR="009264DE" w:rsidRPr="009264DE" w:rsidRDefault="009264DE" w:rsidP="00B71007">
      <w:pPr>
        <w:spacing w:before="120" w:after="0" w:line="240" w:lineRule="auto"/>
        <w:ind w:firstLine="708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9264DE">
        <w:rPr>
          <w:rFonts w:eastAsia="Times New Roman" w:cstheme="minorHAnsi"/>
          <w:kern w:val="0"/>
          <w:lang w:eastAsia="pl-PL"/>
          <w14:ligatures w14:val="none"/>
        </w:rPr>
        <w:t>Mając powyższe na uwadze, orzeczono jak w sentencji.</w:t>
      </w:r>
    </w:p>
    <w:p w14:paraId="102000FF" w14:textId="3A476316" w:rsidR="009264DE" w:rsidRPr="009264DE" w:rsidRDefault="009264DE" w:rsidP="00D83AF8">
      <w:pPr>
        <w:spacing w:before="120" w:after="0" w:line="240" w:lineRule="auto"/>
        <w:jc w:val="center"/>
        <w:outlineLvl w:val="1"/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</w:pPr>
      <w:r w:rsidRPr="009264DE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>Pouczenie</w:t>
      </w:r>
    </w:p>
    <w:p w14:paraId="36D2E325" w14:textId="77777777" w:rsidR="009264DE" w:rsidRPr="009264DE" w:rsidRDefault="009264DE" w:rsidP="00E36BE9">
      <w:pPr>
        <w:spacing w:before="6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</w:pPr>
      <w:r w:rsidRPr="009264DE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 xml:space="preserve">Od niniejszej decyzji służy stronie odwołanie do </w:t>
      </w:r>
      <w:r w:rsidRPr="00E36BE9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Samorządowego Kolegium Odwoławczego w Słupsku</w:t>
      </w:r>
      <w:r w:rsidRPr="009264DE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, za pośrednictwem Wójta Gminy Człuchów, w terminie 14 dni od dnia doręczenia decyzji.</w:t>
      </w:r>
    </w:p>
    <w:p w14:paraId="5360D83C" w14:textId="77777777" w:rsidR="009264DE" w:rsidRPr="009264DE" w:rsidRDefault="009264DE" w:rsidP="00E36BE9">
      <w:pPr>
        <w:spacing w:before="6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</w:pPr>
      <w:r w:rsidRPr="009264DE"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  <w:t>W trakcie biegu terminu do wniesienia odwołania strona może zrzec się prawa do wniesienia odwołania wobec organu administracji publicznej, który wydał decyzję. Z dniem doręczenia organowi administracji publicznej oświadczenia o zrzeczeniu się prawa do wniesienia odwołania przez ostatnią ze stron postępowania decyzja staje się ostateczna i prawomocna.</w:t>
      </w:r>
    </w:p>
    <w:p w14:paraId="637F5D87" w14:textId="77777777" w:rsidR="004D7797" w:rsidRDefault="004D7797" w:rsidP="00D83AF8">
      <w:pPr>
        <w:spacing w:before="120" w:after="0" w:line="240" w:lineRule="auto"/>
        <w:jc w:val="both"/>
        <w:rPr>
          <w:rFonts w:cstheme="minorHAnsi"/>
          <w:sz w:val="20"/>
          <w:szCs w:val="20"/>
        </w:rPr>
      </w:pPr>
    </w:p>
    <w:p w14:paraId="43DAEE78" w14:textId="77777777" w:rsidR="00B71007" w:rsidRPr="00B71007" w:rsidRDefault="00B71007" w:rsidP="00B71007">
      <w:pPr>
        <w:suppressAutoHyphens/>
        <w:spacing w:after="0" w:line="240" w:lineRule="auto"/>
        <w:ind w:left="4253"/>
        <w:jc w:val="center"/>
        <w:rPr>
          <w:rFonts w:ascii="Calibri" w:eastAsia="Times New Roman" w:hAnsi="Calibri" w:cs="Times New Roman"/>
          <w:b/>
          <w:i/>
          <w:iCs/>
          <w:kern w:val="0"/>
          <w:lang w:eastAsia="pl-PL"/>
          <w14:ligatures w14:val="none"/>
        </w:rPr>
      </w:pPr>
      <w:r w:rsidRPr="00B71007">
        <w:rPr>
          <w:rFonts w:ascii="Calibri" w:eastAsia="Times New Roman" w:hAnsi="Calibri" w:cs="Times New Roman"/>
          <w:b/>
          <w:i/>
          <w:iCs/>
          <w:kern w:val="0"/>
          <w:lang w:eastAsia="pl-PL"/>
          <w14:ligatures w14:val="none"/>
        </w:rPr>
        <w:t>WÓJT GMINY</w:t>
      </w:r>
    </w:p>
    <w:p w14:paraId="40FB49C9" w14:textId="77777777" w:rsidR="00B71007" w:rsidRPr="00B71007" w:rsidRDefault="00B71007" w:rsidP="00B71007">
      <w:pPr>
        <w:spacing w:after="0" w:line="240" w:lineRule="auto"/>
        <w:ind w:left="4253"/>
        <w:jc w:val="center"/>
        <w:rPr>
          <w:rFonts w:ascii="Calibri" w:eastAsia="Times New Roman" w:hAnsi="Calibri" w:cs="Times New Roman"/>
          <w:b/>
          <w:i/>
          <w:iCs/>
          <w:kern w:val="0"/>
          <w:lang w:eastAsia="pl-PL"/>
          <w14:ligatures w14:val="none"/>
        </w:rPr>
      </w:pPr>
      <w:r w:rsidRPr="00B71007">
        <w:rPr>
          <w:rFonts w:ascii="Calibri" w:eastAsia="Times New Roman" w:hAnsi="Calibri" w:cs="Times New Roman"/>
          <w:b/>
          <w:i/>
          <w:iCs/>
          <w:kern w:val="0"/>
          <w:lang w:eastAsia="pl-PL"/>
          <w14:ligatures w14:val="none"/>
        </w:rPr>
        <w:t>Paweł Gibczyński</w:t>
      </w:r>
    </w:p>
    <w:p w14:paraId="034A75D8" w14:textId="77777777" w:rsidR="00B71007" w:rsidRPr="00B71007" w:rsidRDefault="00B71007" w:rsidP="00B71007">
      <w:pPr>
        <w:spacing w:after="0" w:line="240" w:lineRule="auto"/>
        <w:ind w:left="4253"/>
        <w:jc w:val="center"/>
        <w:rPr>
          <w:rFonts w:ascii="Calibri" w:eastAsia="Times New Roman" w:hAnsi="Calibri" w:cs="Times New Roman"/>
          <w:b/>
          <w:i/>
          <w:iCs/>
          <w:kern w:val="0"/>
          <w:lang w:eastAsia="pl-PL"/>
          <w14:ligatures w14:val="none"/>
        </w:rPr>
      </w:pPr>
      <w:r w:rsidRPr="00B71007">
        <w:rPr>
          <w:rFonts w:ascii="Calibri" w:eastAsia="Times New Roman" w:hAnsi="Calibri" w:cs="Times New Roman"/>
          <w:bCs/>
          <w:kern w:val="0"/>
          <w:sz w:val="16"/>
          <w:szCs w:val="16"/>
          <w:lang w:eastAsia="pl-PL"/>
          <w14:ligatures w14:val="none"/>
        </w:rPr>
        <w:t>(</w:t>
      </w:r>
      <w:r w:rsidRPr="00B71007">
        <w:rPr>
          <w:rFonts w:ascii="Calibri" w:eastAsia="Times New Roman" w:hAnsi="Calibri" w:cs="Times New Roman"/>
          <w:bCs/>
          <w:i/>
          <w:iCs/>
          <w:kern w:val="0"/>
          <w:sz w:val="16"/>
          <w:szCs w:val="16"/>
          <w:lang w:eastAsia="pl-PL"/>
          <w14:ligatures w14:val="none"/>
        </w:rPr>
        <w:t>dokument podpisany kwalifikowanym podpisem elektronicznym</w:t>
      </w:r>
      <w:r w:rsidRPr="00B71007">
        <w:rPr>
          <w:rFonts w:ascii="Calibri" w:eastAsia="Times New Roman" w:hAnsi="Calibri" w:cs="Times New Roman"/>
          <w:bCs/>
          <w:kern w:val="0"/>
          <w:sz w:val="16"/>
          <w:szCs w:val="16"/>
          <w:lang w:eastAsia="pl-PL"/>
          <w14:ligatures w14:val="none"/>
        </w:rPr>
        <w:t>)</w:t>
      </w:r>
    </w:p>
    <w:p w14:paraId="6B79A497" w14:textId="77777777" w:rsidR="00D83AF8" w:rsidRDefault="00D83AF8" w:rsidP="00D83AF8">
      <w:pPr>
        <w:spacing w:before="120" w:after="0" w:line="240" w:lineRule="auto"/>
        <w:jc w:val="both"/>
        <w:rPr>
          <w:rFonts w:cstheme="minorHAnsi"/>
          <w:sz w:val="20"/>
          <w:szCs w:val="20"/>
        </w:rPr>
      </w:pPr>
    </w:p>
    <w:p w14:paraId="3786EA2B" w14:textId="77777777" w:rsidR="003E68C4" w:rsidRDefault="003E68C4" w:rsidP="00D83AF8">
      <w:pPr>
        <w:spacing w:before="120" w:after="0" w:line="240" w:lineRule="auto"/>
        <w:jc w:val="both"/>
        <w:rPr>
          <w:rFonts w:cstheme="minorHAnsi"/>
          <w:sz w:val="20"/>
          <w:szCs w:val="20"/>
        </w:rPr>
      </w:pPr>
    </w:p>
    <w:p w14:paraId="324EC9A2" w14:textId="77777777" w:rsidR="003E68C4" w:rsidRDefault="003E68C4" w:rsidP="00D83AF8">
      <w:pPr>
        <w:spacing w:before="120" w:after="0" w:line="240" w:lineRule="auto"/>
        <w:jc w:val="both"/>
        <w:rPr>
          <w:rFonts w:cstheme="minorHAnsi"/>
          <w:sz w:val="20"/>
          <w:szCs w:val="20"/>
        </w:rPr>
      </w:pPr>
    </w:p>
    <w:p w14:paraId="1BC187AF" w14:textId="77777777" w:rsidR="003E68C4" w:rsidRDefault="003E68C4" w:rsidP="00D83AF8">
      <w:pPr>
        <w:spacing w:before="120" w:after="0" w:line="240" w:lineRule="auto"/>
        <w:jc w:val="both"/>
        <w:rPr>
          <w:rFonts w:cstheme="minorHAnsi"/>
          <w:sz w:val="20"/>
          <w:szCs w:val="20"/>
        </w:rPr>
      </w:pPr>
    </w:p>
    <w:p w14:paraId="49324399" w14:textId="77777777" w:rsidR="00D83AF8" w:rsidRDefault="00D83AF8" w:rsidP="00D83AF8">
      <w:pPr>
        <w:spacing w:before="120" w:after="0" w:line="240" w:lineRule="auto"/>
        <w:jc w:val="both"/>
        <w:rPr>
          <w:rFonts w:cstheme="minorHAnsi"/>
          <w:sz w:val="20"/>
          <w:szCs w:val="20"/>
        </w:rPr>
      </w:pPr>
    </w:p>
    <w:p w14:paraId="296EBF7C" w14:textId="77777777" w:rsidR="00D83AF8" w:rsidRPr="0011438A" w:rsidRDefault="00D83AF8" w:rsidP="003E68C4">
      <w:pPr>
        <w:tabs>
          <w:tab w:val="left" w:pos="284"/>
        </w:tabs>
        <w:spacing w:after="0" w:line="240" w:lineRule="auto"/>
        <w:jc w:val="both"/>
        <w:rPr>
          <w:rFonts w:eastAsia="Lucida Sans Unicode" w:cs="Tahoma"/>
          <w:sz w:val="20"/>
          <w:u w:val="single"/>
        </w:rPr>
      </w:pPr>
      <w:r w:rsidRPr="0011438A">
        <w:rPr>
          <w:rFonts w:eastAsia="Lucida Sans Unicode" w:cs="Tahoma"/>
          <w:sz w:val="20"/>
          <w:u w:val="single"/>
        </w:rPr>
        <w:t>Otrzymują:</w:t>
      </w:r>
    </w:p>
    <w:p w14:paraId="18B4C66D" w14:textId="77777777" w:rsidR="00D83AF8" w:rsidRPr="008509AD" w:rsidRDefault="00D83AF8" w:rsidP="003E68C4">
      <w:pPr>
        <w:widowControl w:val="0"/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jc w:val="both"/>
        <w:rPr>
          <w:rFonts w:eastAsia="Lucida Sans Unicode" w:cs="Tahoma"/>
          <w:sz w:val="20"/>
          <w:u w:val="single"/>
        </w:rPr>
      </w:pPr>
      <w:r w:rsidRPr="0011438A">
        <w:rPr>
          <w:rFonts w:eastAsia="Lucida Sans Unicode" w:cs="Tahoma"/>
          <w:sz w:val="20"/>
        </w:rPr>
        <w:t>Inwestor</w:t>
      </w:r>
      <w:r>
        <w:rPr>
          <w:rFonts w:eastAsia="Lucida Sans Unicode" w:cs="Tahoma"/>
          <w:sz w:val="20"/>
        </w:rPr>
        <w:t>;</w:t>
      </w:r>
    </w:p>
    <w:p w14:paraId="6A2CF6EC" w14:textId="77777777" w:rsidR="00D83AF8" w:rsidRPr="0011438A" w:rsidRDefault="00D83AF8" w:rsidP="003E68C4">
      <w:pPr>
        <w:widowControl w:val="0"/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jc w:val="both"/>
        <w:rPr>
          <w:rFonts w:eastAsia="Lucida Sans Unicode" w:cs="Tahoma"/>
          <w:sz w:val="20"/>
          <w:u w:val="single"/>
        </w:rPr>
      </w:pPr>
      <w:r>
        <w:rPr>
          <w:rFonts w:eastAsia="Lucida Sans Unicode" w:cs="Tahoma"/>
          <w:sz w:val="20"/>
        </w:rPr>
        <w:t>Właściciele działek, na których ma być realizowane przedsięwzięcie;</w:t>
      </w:r>
      <w:r w:rsidRPr="0011438A">
        <w:rPr>
          <w:rFonts w:eastAsia="Lucida Sans Unicode" w:cs="Tahoma"/>
          <w:sz w:val="20"/>
        </w:rPr>
        <w:t xml:space="preserve"> </w:t>
      </w:r>
    </w:p>
    <w:p w14:paraId="5A09A5D5" w14:textId="6951C919" w:rsidR="00D83AF8" w:rsidRPr="008509AD" w:rsidRDefault="00D83AF8" w:rsidP="003E68C4">
      <w:pPr>
        <w:widowControl w:val="0"/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jc w:val="both"/>
        <w:rPr>
          <w:rFonts w:eastAsia="Lucida Sans Unicode" w:cs="Tahoma"/>
          <w:sz w:val="20"/>
        </w:rPr>
      </w:pPr>
      <w:r w:rsidRPr="0011438A">
        <w:rPr>
          <w:rFonts w:eastAsia="Lucida Sans Unicode" w:cs="Tahoma"/>
          <w:sz w:val="20"/>
        </w:rPr>
        <w:t xml:space="preserve">Strony niniejszego postępowania, zgodnie z art. 74 ust. 3 ustawy z dnia 3 października 2008 r. </w:t>
      </w:r>
      <w:r w:rsidR="00E36BE9">
        <w:rPr>
          <w:rFonts w:eastAsia="Lucida Sans Unicode" w:cs="Tahoma"/>
          <w:sz w:val="20"/>
        </w:rPr>
        <w:br/>
      </w:r>
      <w:r w:rsidRPr="0011438A">
        <w:rPr>
          <w:rFonts w:eastAsia="Lucida Sans Unicode" w:cs="Tahoma"/>
          <w:sz w:val="20"/>
        </w:rPr>
        <w:t>o udostępnianiu informacji o środowisku i jego ochronie, udziale społeczeństwa w ochronie środowiska oraz ocenach oddziaływania na środowisko (tj: Dz. U. z 202</w:t>
      </w:r>
      <w:r>
        <w:rPr>
          <w:rFonts w:eastAsia="Lucida Sans Unicode" w:cs="Tahoma"/>
          <w:sz w:val="20"/>
        </w:rPr>
        <w:t>4</w:t>
      </w:r>
      <w:r w:rsidRPr="0011438A">
        <w:rPr>
          <w:rFonts w:eastAsia="Lucida Sans Unicode" w:cs="Tahoma"/>
          <w:sz w:val="20"/>
        </w:rPr>
        <w:t xml:space="preserve"> r., poz. </w:t>
      </w:r>
      <w:r>
        <w:rPr>
          <w:rFonts w:eastAsia="Lucida Sans Unicode" w:cs="Tahoma"/>
          <w:sz w:val="20"/>
        </w:rPr>
        <w:t>1</w:t>
      </w:r>
      <w:r w:rsidR="00B71007">
        <w:rPr>
          <w:rFonts w:eastAsia="Lucida Sans Unicode" w:cs="Tahoma"/>
          <w:sz w:val="20"/>
        </w:rPr>
        <w:t>940</w:t>
      </w:r>
      <w:r w:rsidRPr="0011438A">
        <w:rPr>
          <w:rFonts w:eastAsia="Lucida Sans Unicode" w:cs="Tahoma"/>
          <w:sz w:val="20"/>
        </w:rPr>
        <w:t xml:space="preserve">), są informowane poprzez obwieszczenie znak </w:t>
      </w:r>
      <w:r>
        <w:rPr>
          <w:rFonts w:eastAsia="Lucida Sans Unicode" w:cs="Tahoma"/>
          <w:sz w:val="20"/>
        </w:rPr>
        <w:t>IN</w:t>
      </w:r>
      <w:r w:rsidRPr="0011438A">
        <w:rPr>
          <w:rFonts w:eastAsia="Lucida Sans Unicode" w:cs="Tahoma"/>
          <w:sz w:val="20"/>
        </w:rPr>
        <w:t>.6220.</w:t>
      </w:r>
      <w:r>
        <w:rPr>
          <w:rFonts w:eastAsia="Lucida Sans Unicode" w:cs="Tahoma"/>
          <w:sz w:val="20"/>
        </w:rPr>
        <w:t>7.2026</w:t>
      </w:r>
      <w:r w:rsidR="00A876D6">
        <w:rPr>
          <w:rFonts w:eastAsia="Lucida Sans Unicode" w:cs="Tahoma"/>
          <w:sz w:val="20"/>
        </w:rPr>
        <w:t>.10</w:t>
      </w:r>
      <w:r w:rsidRPr="0011438A">
        <w:rPr>
          <w:rFonts w:eastAsia="Lucida Sans Unicode" w:cs="Tahoma"/>
          <w:sz w:val="20"/>
        </w:rPr>
        <w:t xml:space="preserve"> z dnia </w:t>
      </w:r>
      <w:r>
        <w:rPr>
          <w:rFonts w:eastAsia="Lucida Sans Unicode" w:cs="Tahoma"/>
          <w:sz w:val="20"/>
        </w:rPr>
        <w:t>15.09.2026</w:t>
      </w:r>
      <w:r w:rsidRPr="0011438A">
        <w:rPr>
          <w:rFonts w:eastAsia="Lucida Sans Unicode" w:cs="Tahoma"/>
          <w:sz w:val="20"/>
        </w:rPr>
        <w:t xml:space="preserve"> r.</w:t>
      </w:r>
      <w:r>
        <w:rPr>
          <w:rFonts w:eastAsia="Lucida Sans Unicode" w:cs="Tahoma"/>
          <w:sz w:val="20"/>
        </w:rPr>
        <w:t>;</w:t>
      </w:r>
      <w:r w:rsidRPr="0011438A">
        <w:rPr>
          <w:rFonts w:eastAsia="Lucida Sans Unicode" w:cs="Tahoma"/>
          <w:sz w:val="20"/>
        </w:rPr>
        <w:t xml:space="preserve"> </w:t>
      </w:r>
    </w:p>
    <w:p w14:paraId="3F2BBE03" w14:textId="77777777" w:rsidR="00D83AF8" w:rsidRPr="0011438A" w:rsidRDefault="00D83AF8" w:rsidP="003E68C4">
      <w:pPr>
        <w:widowControl w:val="0"/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jc w:val="both"/>
        <w:rPr>
          <w:rFonts w:eastAsia="Lucida Sans Unicode" w:cs="Tahoma"/>
          <w:sz w:val="20"/>
        </w:rPr>
      </w:pPr>
      <w:r w:rsidRPr="0011438A">
        <w:rPr>
          <w:rFonts w:eastAsia="Lucida Sans Unicode" w:cs="Tahoma"/>
          <w:sz w:val="20"/>
        </w:rPr>
        <w:t>a/a</w:t>
      </w:r>
      <w:r>
        <w:rPr>
          <w:rFonts w:eastAsia="Lucida Sans Unicode" w:cs="Tahoma"/>
          <w:sz w:val="20"/>
        </w:rPr>
        <w:t>.</w:t>
      </w:r>
    </w:p>
    <w:p w14:paraId="46B094AB" w14:textId="77777777" w:rsidR="00B71007" w:rsidRDefault="00B71007" w:rsidP="003E68C4">
      <w:pPr>
        <w:tabs>
          <w:tab w:val="left" w:pos="284"/>
        </w:tabs>
        <w:spacing w:after="0" w:line="240" w:lineRule="auto"/>
        <w:jc w:val="both"/>
        <w:rPr>
          <w:rFonts w:eastAsia="Lucida Sans Unicode" w:cs="Tahoma"/>
          <w:sz w:val="20"/>
          <w:u w:val="single"/>
        </w:rPr>
      </w:pPr>
    </w:p>
    <w:p w14:paraId="0C254692" w14:textId="1470CE8C" w:rsidR="00D83AF8" w:rsidRPr="0011438A" w:rsidRDefault="00D83AF8" w:rsidP="003E68C4">
      <w:pPr>
        <w:tabs>
          <w:tab w:val="left" w:pos="284"/>
        </w:tabs>
        <w:spacing w:after="0" w:line="240" w:lineRule="auto"/>
        <w:jc w:val="both"/>
        <w:rPr>
          <w:rFonts w:eastAsia="Lucida Sans Unicode" w:cs="Tahoma"/>
          <w:sz w:val="20"/>
          <w:u w:val="single"/>
        </w:rPr>
      </w:pPr>
      <w:r w:rsidRPr="0011438A">
        <w:rPr>
          <w:rFonts w:eastAsia="Lucida Sans Unicode" w:cs="Tahoma"/>
          <w:sz w:val="20"/>
          <w:u w:val="single"/>
        </w:rPr>
        <w:t>Do wiadomości:</w:t>
      </w:r>
    </w:p>
    <w:p w14:paraId="0D10FB7A" w14:textId="77777777" w:rsidR="00D83AF8" w:rsidRPr="0011438A" w:rsidRDefault="00D83AF8" w:rsidP="003E68C4">
      <w:pPr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240" w:lineRule="auto"/>
        <w:jc w:val="both"/>
        <w:rPr>
          <w:rFonts w:eastAsia="Lucida Sans Unicode" w:cs="Tahoma"/>
          <w:sz w:val="20"/>
        </w:rPr>
      </w:pPr>
      <w:r w:rsidRPr="0011438A">
        <w:rPr>
          <w:rFonts w:eastAsia="Lucida Sans Unicode" w:cs="Tahoma"/>
          <w:sz w:val="20"/>
        </w:rPr>
        <w:t>Państwowy Powiatowy Inspektor Sanitarny w Człuchowie</w:t>
      </w:r>
      <w:r>
        <w:rPr>
          <w:rFonts w:eastAsia="Lucida Sans Unicode" w:cs="Tahoma"/>
          <w:sz w:val="20"/>
        </w:rPr>
        <w:t>;</w:t>
      </w:r>
    </w:p>
    <w:p w14:paraId="5F8C1FC8" w14:textId="77777777" w:rsidR="00D83AF8" w:rsidRPr="0011438A" w:rsidRDefault="00D83AF8" w:rsidP="003E68C4">
      <w:pPr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240" w:lineRule="auto"/>
        <w:jc w:val="both"/>
        <w:rPr>
          <w:rFonts w:eastAsia="Lucida Sans Unicode" w:cs="Tahoma"/>
          <w:sz w:val="20"/>
        </w:rPr>
      </w:pPr>
      <w:r w:rsidRPr="0011438A">
        <w:rPr>
          <w:rFonts w:eastAsia="Lucida Sans Unicode" w:cs="Tahoma"/>
          <w:sz w:val="20"/>
        </w:rPr>
        <w:t>Regionalny Dyrektor Ochrony Środowiska w Gdańsku</w:t>
      </w:r>
      <w:r>
        <w:rPr>
          <w:rFonts w:eastAsia="Lucida Sans Unicode" w:cs="Tahoma"/>
          <w:sz w:val="20"/>
        </w:rPr>
        <w:t>;</w:t>
      </w:r>
    </w:p>
    <w:p w14:paraId="1DAC18CB" w14:textId="340A2478" w:rsidR="00D83AF8" w:rsidRPr="0011438A" w:rsidRDefault="00D83AF8" w:rsidP="003E68C4">
      <w:pPr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240" w:lineRule="auto"/>
        <w:jc w:val="both"/>
        <w:rPr>
          <w:rFonts w:eastAsia="Lucida Sans Unicode" w:cs="Tahoma"/>
          <w:sz w:val="20"/>
        </w:rPr>
      </w:pPr>
      <w:r w:rsidRPr="0011438A">
        <w:rPr>
          <w:rFonts w:eastAsia="Lucida Sans Unicode" w:cs="Tahoma"/>
          <w:sz w:val="20"/>
        </w:rPr>
        <w:t xml:space="preserve">Państwowe Gospodarstwo Wodne Wody Polskie - Zarząd Zlewni w </w:t>
      </w:r>
      <w:r w:rsidR="003E68C4">
        <w:rPr>
          <w:rFonts w:eastAsia="Lucida Sans Unicode" w:cs="Tahoma"/>
          <w:sz w:val="20"/>
        </w:rPr>
        <w:t>Pile</w:t>
      </w:r>
      <w:r>
        <w:rPr>
          <w:rFonts w:eastAsia="Lucida Sans Unicode" w:cs="Tahoma"/>
          <w:sz w:val="20"/>
        </w:rPr>
        <w:t>.</w:t>
      </w:r>
    </w:p>
    <w:p w14:paraId="58C1B953" w14:textId="77777777" w:rsidR="00D83AF8" w:rsidRPr="00D83AF8" w:rsidRDefault="00D83AF8" w:rsidP="00D83AF8">
      <w:pPr>
        <w:spacing w:before="120" w:after="0" w:line="240" w:lineRule="auto"/>
        <w:jc w:val="both"/>
        <w:rPr>
          <w:rFonts w:cstheme="minorHAnsi"/>
          <w:sz w:val="20"/>
          <w:szCs w:val="20"/>
        </w:rPr>
      </w:pPr>
    </w:p>
    <w:sectPr w:rsidR="00D83AF8" w:rsidRPr="00D83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76245"/>
    <w:multiLevelType w:val="hybridMultilevel"/>
    <w:tmpl w:val="868C29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2D7FAE"/>
    <w:multiLevelType w:val="multilevel"/>
    <w:tmpl w:val="277C05F6"/>
    <w:lvl w:ilvl="0">
      <w:start w:val="1"/>
      <w:numFmt w:val="decimal"/>
      <w:pStyle w:val="Sty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9E83C3E"/>
    <w:multiLevelType w:val="hybridMultilevel"/>
    <w:tmpl w:val="40D22132"/>
    <w:lvl w:ilvl="0" w:tplc="AFEC7D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FF43FAE"/>
    <w:multiLevelType w:val="hybridMultilevel"/>
    <w:tmpl w:val="90B4E3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66E319F"/>
    <w:multiLevelType w:val="hybridMultilevel"/>
    <w:tmpl w:val="C0DEA69A"/>
    <w:lvl w:ilvl="0" w:tplc="03B242B6">
      <w:start w:val="1"/>
      <w:numFmt w:val="decimal"/>
      <w:lvlText w:val="%1."/>
      <w:lvlJc w:val="left"/>
      <w:pPr>
        <w:ind w:left="375" w:hanging="360"/>
      </w:pPr>
      <w:rPr>
        <w:rFonts w:ascii="Times New Roman" w:hAnsi="Times New Roman" w:cs="Times New Roman"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95" w:hanging="360"/>
      </w:pPr>
    </w:lvl>
    <w:lvl w:ilvl="2" w:tplc="0415001B" w:tentative="1">
      <w:start w:val="1"/>
      <w:numFmt w:val="lowerRoman"/>
      <w:lvlText w:val="%3."/>
      <w:lvlJc w:val="right"/>
      <w:pPr>
        <w:ind w:left="1815" w:hanging="180"/>
      </w:pPr>
    </w:lvl>
    <w:lvl w:ilvl="3" w:tplc="0415000F" w:tentative="1">
      <w:start w:val="1"/>
      <w:numFmt w:val="decimal"/>
      <w:lvlText w:val="%4."/>
      <w:lvlJc w:val="left"/>
      <w:pPr>
        <w:ind w:left="2535" w:hanging="360"/>
      </w:pPr>
    </w:lvl>
    <w:lvl w:ilvl="4" w:tplc="04150019" w:tentative="1">
      <w:start w:val="1"/>
      <w:numFmt w:val="lowerLetter"/>
      <w:lvlText w:val="%5."/>
      <w:lvlJc w:val="left"/>
      <w:pPr>
        <w:ind w:left="3255" w:hanging="360"/>
      </w:pPr>
    </w:lvl>
    <w:lvl w:ilvl="5" w:tplc="0415001B" w:tentative="1">
      <w:start w:val="1"/>
      <w:numFmt w:val="lowerRoman"/>
      <w:lvlText w:val="%6."/>
      <w:lvlJc w:val="right"/>
      <w:pPr>
        <w:ind w:left="3975" w:hanging="180"/>
      </w:pPr>
    </w:lvl>
    <w:lvl w:ilvl="6" w:tplc="0415000F" w:tentative="1">
      <w:start w:val="1"/>
      <w:numFmt w:val="decimal"/>
      <w:lvlText w:val="%7."/>
      <w:lvlJc w:val="left"/>
      <w:pPr>
        <w:ind w:left="4695" w:hanging="360"/>
      </w:pPr>
    </w:lvl>
    <w:lvl w:ilvl="7" w:tplc="04150019" w:tentative="1">
      <w:start w:val="1"/>
      <w:numFmt w:val="lowerLetter"/>
      <w:lvlText w:val="%8."/>
      <w:lvlJc w:val="left"/>
      <w:pPr>
        <w:ind w:left="5415" w:hanging="360"/>
      </w:pPr>
    </w:lvl>
    <w:lvl w:ilvl="8" w:tplc="0415001B" w:tentative="1">
      <w:start w:val="1"/>
      <w:numFmt w:val="lowerRoman"/>
      <w:lvlText w:val="%9."/>
      <w:lvlJc w:val="right"/>
      <w:pPr>
        <w:ind w:left="6135" w:hanging="180"/>
      </w:pPr>
    </w:lvl>
  </w:abstractNum>
  <w:num w:numId="1" w16cid:durableId="339699584">
    <w:abstractNumId w:val="4"/>
  </w:num>
  <w:num w:numId="2" w16cid:durableId="199175460">
    <w:abstractNumId w:val="1"/>
  </w:num>
  <w:num w:numId="3" w16cid:durableId="1209149548">
    <w:abstractNumId w:val="0"/>
  </w:num>
  <w:num w:numId="4" w16cid:durableId="35395797">
    <w:abstractNumId w:val="3"/>
  </w:num>
  <w:num w:numId="5" w16cid:durableId="1094519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4DE"/>
    <w:rsid w:val="000C50B1"/>
    <w:rsid w:val="00106AD4"/>
    <w:rsid w:val="00120871"/>
    <w:rsid w:val="002E544F"/>
    <w:rsid w:val="003E68C4"/>
    <w:rsid w:val="004D7797"/>
    <w:rsid w:val="00616045"/>
    <w:rsid w:val="00627CD0"/>
    <w:rsid w:val="006A2851"/>
    <w:rsid w:val="007F1026"/>
    <w:rsid w:val="008B390B"/>
    <w:rsid w:val="009264DE"/>
    <w:rsid w:val="00A71900"/>
    <w:rsid w:val="00A876D6"/>
    <w:rsid w:val="00AF6A10"/>
    <w:rsid w:val="00B71007"/>
    <w:rsid w:val="00BF2218"/>
    <w:rsid w:val="00D83AF8"/>
    <w:rsid w:val="00E36BE9"/>
    <w:rsid w:val="00F04004"/>
    <w:rsid w:val="00F4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7603E"/>
  <w15:chartTrackingRefBased/>
  <w15:docId w15:val="{76ADD058-9190-4C66-85C9-0954516E4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264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6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64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64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64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64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64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64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64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link w:val="Styl1Znak"/>
    <w:autoRedefine/>
    <w:qFormat/>
    <w:rsid w:val="00120871"/>
    <w:pPr>
      <w:numPr>
        <w:numId w:val="2"/>
      </w:numPr>
      <w:spacing w:before="120" w:after="0" w:line="480" w:lineRule="auto"/>
      <w:ind w:left="375" w:hanging="360"/>
      <w:jc w:val="both"/>
    </w:pPr>
    <w:rPr>
      <w:rFonts w:ascii="Times New Roman" w:hAnsi="Times New Roman"/>
      <w:sz w:val="18"/>
      <w:szCs w:val="18"/>
    </w:rPr>
  </w:style>
  <w:style w:type="character" w:customStyle="1" w:styleId="Styl1Znak">
    <w:name w:val="Styl1 Znak"/>
    <w:basedOn w:val="Domylnaczcionkaakapitu"/>
    <w:link w:val="Styl1"/>
    <w:rsid w:val="00120871"/>
    <w:rPr>
      <w:rFonts w:ascii="Times New Roman" w:hAnsi="Times New Roman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9264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64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64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64D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64D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64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64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64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64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64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26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64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264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64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264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264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264D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64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64D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64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1294</Words>
  <Characters>7765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Arleta Grubak</dc:creator>
  <cp:keywords/>
  <dc:description/>
  <cp:lastModifiedBy>Arleta Grubak</cp:lastModifiedBy>
  <cp:revision>9</cp:revision>
  <dcterms:created xsi:type="dcterms:W3CDTF">2026-09-14T08:05:00Z</dcterms:created>
  <dcterms:modified xsi:type="dcterms:W3CDTF">2026-09-15T08:28:00Z</dcterms:modified>
</cp:coreProperties>
</file>